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9B" w:rsidRDefault="0087199B" w:rsidP="0087199B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37445" cy="6678930"/>
            <wp:effectExtent l="0" t="0" r="1905" b="7620"/>
            <wp:wrapSquare wrapText="bothSides"/>
            <wp:docPr id="1" name="Obrázek 1" descr="D:\Hamros fotky\httpswww.novinky.czclanekekonomika-rafinerie-v-litvinove-zvladne-prechod-na-neruskou-ropu-404494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www.novinky.czclanekekonomika-rafinerie-v-litvinove-zvladne-prechod-na-neruskou-ropu-4044949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445" cy="667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1A55" w:rsidRDefault="0087199B">
      <w:r w:rsidRPr="0087199B">
        <w:lastRenderedPageBreak/>
        <w:t>httpswww.novinky.czclanekekonomika-rafinerie-v-litvinove-zvladne-prechod-na-neruskou-ropu-40449490</w:t>
      </w:r>
      <w:bookmarkStart w:id="0" w:name="_GoBack"/>
      <w:bookmarkEnd w:id="0"/>
    </w:p>
    <w:sectPr w:rsidR="00B01A55" w:rsidSect="008719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9B"/>
    <w:rsid w:val="0087199B"/>
    <w:rsid w:val="00B0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7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1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1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7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1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1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2026-06-02T07:17:00Z</dcterms:created>
  <dcterms:modified xsi:type="dcterms:W3CDTF">2026-06-02T07:18:00Z</dcterms:modified>
</cp:coreProperties>
</file>